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8A" w:rsidRPr="00600E8A" w:rsidRDefault="00600E8A" w:rsidP="00600E8A">
      <w:pPr>
        <w:pStyle w:val="Heading2"/>
        <w:shd w:val="clear" w:color="auto" w:fill="FFFFFF"/>
        <w:spacing w:before="300" w:beforeAutospacing="0" w:after="150" w:afterAutospacing="0"/>
        <w:rPr>
          <w:rFonts w:ascii="Arial" w:hAnsi="Arial" w:cs="Arial"/>
          <w:b w:val="0"/>
          <w:bCs w:val="0"/>
          <w:color w:val="813588"/>
          <w:sz w:val="32"/>
          <w:szCs w:val="32"/>
        </w:rPr>
      </w:pPr>
      <w:r>
        <w:rPr>
          <w:noProof/>
        </w:rPr>
        <w:drawing>
          <wp:inline distT="0" distB="0" distL="0" distR="0">
            <wp:extent cx="6962775" cy="4905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962775" cy="4905375"/>
                    </a:xfrm>
                    <a:prstGeom prst="rect">
                      <a:avLst/>
                    </a:prstGeom>
                    <a:noFill/>
                    <a:ln w="9525">
                      <a:noFill/>
                      <a:miter lim="800000"/>
                      <a:headEnd/>
                      <a:tailEnd/>
                    </a:ln>
                  </pic:spPr>
                </pic:pic>
              </a:graphicData>
            </a:graphic>
          </wp:inline>
        </w:drawing>
      </w:r>
      <w:r w:rsidRPr="00600E8A">
        <w:rPr>
          <w:rFonts w:ascii="Arial" w:hAnsi="Arial" w:cs="Arial"/>
          <w:b w:val="0"/>
          <w:bCs w:val="0"/>
          <w:color w:val="813588"/>
          <w:sz w:val="32"/>
          <w:szCs w:val="32"/>
        </w:rPr>
        <w:t>Features of Receipt and Payment Account</w:t>
      </w:r>
    </w:p>
    <w:p w:rsidR="00600E8A" w:rsidRPr="00600E8A" w:rsidRDefault="00600E8A" w:rsidP="00600E8A">
      <w:pPr>
        <w:shd w:val="clear" w:color="auto" w:fill="FFFFFF"/>
        <w:spacing w:after="150" w:line="240" w:lineRule="auto"/>
        <w:rPr>
          <w:rFonts w:ascii="Arial" w:eastAsia="Times New Roman" w:hAnsi="Arial" w:cs="Arial"/>
          <w:color w:val="333333"/>
          <w:sz w:val="21"/>
          <w:szCs w:val="21"/>
        </w:rPr>
      </w:pPr>
      <w:r w:rsidRPr="00600E8A">
        <w:rPr>
          <w:rFonts w:ascii="Arial" w:eastAsia="Times New Roman" w:hAnsi="Arial" w:cs="Arial"/>
          <w:color w:val="333333"/>
          <w:sz w:val="21"/>
          <w:szCs w:val="21"/>
        </w:rPr>
        <w:t>Below mentioned are the characteristic features of R and P account:</w:t>
      </w:r>
    </w:p>
    <w:p w:rsidR="00600E8A" w:rsidRPr="00600E8A" w:rsidRDefault="00600E8A" w:rsidP="00600E8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600E8A">
        <w:rPr>
          <w:rFonts w:ascii="Arial" w:eastAsia="Times New Roman" w:hAnsi="Arial" w:cs="Arial"/>
          <w:color w:val="333333"/>
          <w:sz w:val="21"/>
          <w:szCs w:val="21"/>
        </w:rPr>
        <w:t>This Account is a synopsis of cash book</w:t>
      </w:r>
    </w:p>
    <w:p w:rsidR="00600E8A" w:rsidRPr="00600E8A" w:rsidRDefault="00600E8A" w:rsidP="00600E8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600E8A">
        <w:rPr>
          <w:rFonts w:ascii="Arial" w:eastAsia="Times New Roman" w:hAnsi="Arial" w:cs="Arial"/>
          <w:color w:val="333333"/>
          <w:sz w:val="21"/>
          <w:szCs w:val="21"/>
        </w:rPr>
        <w:t>The cash receipts for the year are documented on its debit side (Dr). And, the payments made in cash for the year are recorded on the credit side (Cr)</w:t>
      </w:r>
    </w:p>
    <w:p w:rsidR="00600E8A" w:rsidRPr="00600E8A" w:rsidRDefault="00600E8A" w:rsidP="00600E8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600E8A">
        <w:rPr>
          <w:rFonts w:ascii="Arial" w:eastAsia="Times New Roman" w:hAnsi="Arial" w:cs="Arial"/>
          <w:color w:val="333333"/>
          <w:sz w:val="21"/>
          <w:szCs w:val="21"/>
        </w:rPr>
        <w:t xml:space="preserve">Usually, R and P Account </w:t>
      </w:r>
      <w:proofErr w:type="gramStart"/>
      <w:r w:rsidRPr="00600E8A">
        <w:rPr>
          <w:rFonts w:ascii="Arial" w:eastAsia="Times New Roman" w:hAnsi="Arial" w:cs="Arial"/>
          <w:color w:val="333333"/>
          <w:sz w:val="21"/>
          <w:szCs w:val="21"/>
        </w:rPr>
        <w:t>depicts</w:t>
      </w:r>
      <w:proofErr w:type="gramEnd"/>
      <w:r w:rsidRPr="00600E8A">
        <w:rPr>
          <w:rFonts w:ascii="Arial" w:eastAsia="Times New Roman" w:hAnsi="Arial" w:cs="Arial"/>
          <w:color w:val="333333"/>
          <w:sz w:val="21"/>
          <w:szCs w:val="21"/>
        </w:rPr>
        <w:t xml:space="preserve"> debit balance. If there is overdraft balance, its net balance might be credit</w:t>
      </w:r>
    </w:p>
    <w:p w:rsidR="00600E8A" w:rsidRPr="00600E8A" w:rsidRDefault="00600E8A" w:rsidP="00600E8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600E8A">
        <w:rPr>
          <w:rFonts w:ascii="Arial" w:eastAsia="Times New Roman" w:hAnsi="Arial" w:cs="Arial"/>
          <w:color w:val="333333"/>
          <w:sz w:val="21"/>
          <w:szCs w:val="21"/>
        </w:rPr>
        <w:t>We document only cash transactions in this account</w:t>
      </w:r>
    </w:p>
    <w:p w:rsidR="00600E8A" w:rsidRPr="00600E8A" w:rsidRDefault="00600E8A" w:rsidP="00600E8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600E8A">
        <w:rPr>
          <w:rFonts w:ascii="Arial" w:eastAsia="Times New Roman" w:hAnsi="Arial" w:cs="Arial"/>
          <w:color w:val="333333"/>
          <w:sz w:val="21"/>
          <w:szCs w:val="21"/>
        </w:rPr>
        <w:t>We incorporate receipts and payments in cash, they are of revenue and capital nature</w:t>
      </w:r>
    </w:p>
    <w:p w:rsidR="00600E8A" w:rsidRPr="00600E8A" w:rsidRDefault="00600E8A" w:rsidP="00600E8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600E8A">
        <w:rPr>
          <w:rFonts w:ascii="Arial" w:eastAsia="Times New Roman" w:hAnsi="Arial" w:cs="Arial"/>
          <w:color w:val="333333"/>
          <w:sz w:val="21"/>
          <w:szCs w:val="21"/>
        </w:rPr>
        <w:t>Non-cash items such as outstanding expenses, depreciation, accumulated incomes are shown in this account</w:t>
      </w:r>
    </w:p>
    <w:p w:rsidR="00600E8A" w:rsidRPr="00600E8A" w:rsidRDefault="00600E8A" w:rsidP="00600E8A">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600E8A">
        <w:rPr>
          <w:rFonts w:ascii="Arial" w:eastAsia="Times New Roman" w:hAnsi="Arial" w:cs="Arial"/>
          <w:color w:val="333333"/>
          <w:sz w:val="21"/>
          <w:szCs w:val="21"/>
        </w:rPr>
        <w:t>It’s closing balance depicts closing cash in hand and closing cash at the bank</w:t>
      </w:r>
    </w:p>
    <w:p w:rsidR="00600E8A" w:rsidRPr="00600E8A" w:rsidRDefault="00600E8A" w:rsidP="00600E8A">
      <w:pPr>
        <w:shd w:val="clear" w:color="auto" w:fill="FFFFFF"/>
        <w:spacing w:before="150" w:after="450" w:line="240" w:lineRule="auto"/>
        <w:rPr>
          <w:rFonts w:ascii="Times New Roman" w:eastAsia="Times New Roman" w:hAnsi="Times New Roman" w:cs="Times New Roman"/>
          <w:spacing w:val="-3"/>
          <w:sz w:val="33"/>
          <w:szCs w:val="33"/>
        </w:rPr>
      </w:pPr>
      <w:r w:rsidRPr="00600E8A">
        <w:rPr>
          <w:rFonts w:ascii="Times New Roman" w:eastAsia="Times New Roman" w:hAnsi="Times New Roman" w:cs="Times New Roman"/>
          <w:spacing w:val="-3"/>
          <w:sz w:val="33"/>
          <w:szCs w:val="33"/>
        </w:rPr>
        <w:t xml:space="preserve">The Income and Expenditure Account is a summary of all items of incomes and expenses which relate to the ongoing accounting year. It is </w:t>
      </w:r>
      <w:r w:rsidRPr="00600E8A">
        <w:rPr>
          <w:rFonts w:ascii="Times New Roman" w:eastAsia="Times New Roman" w:hAnsi="Times New Roman" w:cs="Times New Roman"/>
          <w:spacing w:val="-3"/>
          <w:sz w:val="33"/>
          <w:szCs w:val="33"/>
        </w:rPr>
        <w:lastRenderedPageBreak/>
        <w:t>prepared with the objective of finding out the surplus or deficit arising out of current incomes over current expenses. It is quite similar to the </w:t>
      </w:r>
      <w:hyperlink r:id="rId6" w:tgtFrame="_blank" w:history="1">
        <w:r w:rsidRPr="00600E8A">
          <w:rPr>
            <w:rFonts w:ascii="Times New Roman" w:eastAsia="Times New Roman" w:hAnsi="Times New Roman" w:cs="Times New Roman"/>
            <w:color w:val="55BBEA"/>
            <w:spacing w:val="-3"/>
            <w:sz w:val="33"/>
            <w:u w:val="single"/>
          </w:rPr>
          <w:t>Trading and Profit and Loss Account</w:t>
        </w:r>
      </w:hyperlink>
      <w:r w:rsidRPr="00600E8A">
        <w:rPr>
          <w:rFonts w:ascii="Times New Roman" w:eastAsia="Times New Roman" w:hAnsi="Times New Roman" w:cs="Times New Roman"/>
          <w:spacing w:val="-3"/>
          <w:sz w:val="33"/>
          <w:szCs w:val="33"/>
        </w:rPr>
        <w:t> of a trading concern and is prepared in an exact manner.</w:t>
      </w:r>
    </w:p>
    <w:p w:rsidR="00600E8A" w:rsidRPr="00600E8A" w:rsidRDefault="00600E8A" w:rsidP="00600E8A">
      <w:pPr>
        <w:shd w:val="clear" w:color="auto" w:fill="FFFFFF"/>
        <w:spacing w:before="150" w:after="450" w:line="240" w:lineRule="auto"/>
        <w:rPr>
          <w:rFonts w:ascii="Times New Roman" w:eastAsia="Times New Roman" w:hAnsi="Times New Roman" w:cs="Times New Roman"/>
          <w:spacing w:val="-3"/>
          <w:sz w:val="33"/>
          <w:szCs w:val="33"/>
        </w:rPr>
      </w:pPr>
      <w:r w:rsidRPr="00600E8A">
        <w:rPr>
          <w:rFonts w:ascii="Times New Roman" w:eastAsia="Times New Roman" w:hAnsi="Times New Roman" w:cs="Times New Roman"/>
          <w:spacing w:val="-3"/>
          <w:sz w:val="33"/>
          <w:szCs w:val="33"/>
        </w:rPr>
        <w:t xml:space="preserve">Income and Expenditure Account is prepared on an accrual basis. </w:t>
      </w:r>
      <w:proofErr w:type="gramStart"/>
      <w:r w:rsidRPr="00600E8A">
        <w:rPr>
          <w:rFonts w:ascii="Times New Roman" w:eastAsia="Times New Roman" w:hAnsi="Times New Roman" w:cs="Times New Roman"/>
          <w:spacing w:val="-3"/>
          <w:sz w:val="33"/>
          <w:szCs w:val="33"/>
        </w:rPr>
        <w:t>All incomes and expenses relating to the accounting year, whether they are actually received and paid or not, are taken into consideration.</w:t>
      </w:r>
      <w:proofErr w:type="gramEnd"/>
      <w:r w:rsidRPr="00600E8A">
        <w:rPr>
          <w:rFonts w:ascii="Times New Roman" w:eastAsia="Times New Roman" w:hAnsi="Times New Roman" w:cs="Times New Roman"/>
          <w:spacing w:val="-3"/>
          <w:sz w:val="33"/>
          <w:szCs w:val="33"/>
        </w:rPr>
        <w:t xml:space="preserve"> Expenditure is recorded on the debit side and income is recorded on the credit side. A distinction is made between </w:t>
      </w:r>
      <w:hyperlink r:id="rId7" w:history="1">
        <w:r w:rsidRPr="00600E8A">
          <w:rPr>
            <w:rFonts w:ascii="Times New Roman" w:eastAsia="Times New Roman" w:hAnsi="Times New Roman" w:cs="Times New Roman"/>
            <w:color w:val="55BBEA"/>
            <w:spacing w:val="-3"/>
            <w:sz w:val="33"/>
            <w:u w:val="single"/>
          </w:rPr>
          <w:t>capital and revenue</w:t>
        </w:r>
      </w:hyperlink>
      <w:r w:rsidRPr="00600E8A">
        <w:rPr>
          <w:rFonts w:ascii="Times New Roman" w:eastAsia="Times New Roman" w:hAnsi="Times New Roman" w:cs="Times New Roman"/>
          <w:spacing w:val="-3"/>
          <w:sz w:val="33"/>
          <w:szCs w:val="33"/>
        </w:rPr>
        <w:t> items and only revenue items are included in this account.</w:t>
      </w:r>
    </w:p>
    <w:p w:rsidR="00600E8A" w:rsidRPr="00600E8A" w:rsidRDefault="00600E8A" w:rsidP="00600E8A">
      <w:pPr>
        <w:shd w:val="clear" w:color="auto" w:fill="FFFFFF"/>
        <w:spacing w:before="150" w:after="450" w:line="240" w:lineRule="auto"/>
        <w:rPr>
          <w:rFonts w:ascii="Times New Roman" w:eastAsia="Times New Roman" w:hAnsi="Times New Roman" w:cs="Times New Roman"/>
          <w:spacing w:val="-3"/>
          <w:sz w:val="33"/>
          <w:szCs w:val="33"/>
        </w:rPr>
      </w:pPr>
      <w:r w:rsidRPr="00600E8A">
        <w:rPr>
          <w:rFonts w:ascii="Times New Roman" w:eastAsia="Times New Roman" w:hAnsi="Times New Roman" w:cs="Times New Roman"/>
          <w:spacing w:val="-3"/>
          <w:sz w:val="33"/>
          <w:szCs w:val="33"/>
        </w:rPr>
        <w:t>Income and Expenditure Account is a </w:t>
      </w:r>
      <w:hyperlink r:id="rId8" w:history="1">
        <w:r w:rsidRPr="00600E8A">
          <w:rPr>
            <w:rFonts w:ascii="Times New Roman" w:eastAsia="Times New Roman" w:hAnsi="Times New Roman" w:cs="Times New Roman"/>
            <w:color w:val="55BBEA"/>
            <w:spacing w:val="-3"/>
            <w:sz w:val="33"/>
            <w:u w:val="single"/>
          </w:rPr>
          <w:t>nominal account</w:t>
        </w:r>
      </w:hyperlink>
      <w:r w:rsidRPr="00600E8A">
        <w:rPr>
          <w:rFonts w:ascii="Times New Roman" w:eastAsia="Times New Roman" w:hAnsi="Times New Roman" w:cs="Times New Roman"/>
          <w:spacing w:val="-3"/>
          <w:sz w:val="33"/>
          <w:szCs w:val="33"/>
        </w:rPr>
        <w:t>. Therefore, the rule of nominal account (debit all expenses and losses and credit all incomes and gains) is followed while preparing it. While preparing the account, only items of revenue nature are recorded and all items of capital nature are ignored. For example, the profit earned or loss suffered on the sale of an asset will be recorded in it but the amount received from the sale of an asset will not be recorded in it.</w:t>
      </w:r>
    </w:p>
    <w:p w:rsidR="00600E8A" w:rsidRPr="00600E8A" w:rsidRDefault="00600E8A" w:rsidP="00600E8A">
      <w:pPr>
        <w:shd w:val="clear" w:color="auto" w:fill="FFFFFF"/>
        <w:spacing w:before="150" w:after="450" w:line="240" w:lineRule="auto"/>
        <w:rPr>
          <w:rFonts w:ascii="Times New Roman" w:eastAsia="Times New Roman" w:hAnsi="Times New Roman" w:cs="Times New Roman"/>
          <w:spacing w:val="-3"/>
          <w:sz w:val="33"/>
          <w:szCs w:val="33"/>
        </w:rPr>
      </w:pPr>
      <w:r w:rsidRPr="00600E8A">
        <w:rPr>
          <w:rFonts w:ascii="Times New Roman" w:eastAsia="Times New Roman" w:hAnsi="Times New Roman" w:cs="Times New Roman"/>
          <w:spacing w:val="-3"/>
          <w:sz w:val="33"/>
          <w:szCs w:val="33"/>
        </w:rPr>
        <w:t>The closing balance of this account shows a </w:t>
      </w:r>
      <w:hyperlink r:id="rId9" w:tgtFrame="_blank" w:history="1">
        <w:r w:rsidRPr="00600E8A">
          <w:rPr>
            <w:rFonts w:ascii="Times New Roman" w:eastAsia="Times New Roman" w:hAnsi="Times New Roman" w:cs="Times New Roman"/>
            <w:color w:val="55BBEA"/>
            <w:spacing w:val="-3"/>
            <w:sz w:val="33"/>
            <w:u w:val="single"/>
          </w:rPr>
          <w:t>surplus</w:t>
        </w:r>
      </w:hyperlink>
      <w:r w:rsidRPr="00600E8A">
        <w:rPr>
          <w:rFonts w:ascii="Times New Roman" w:eastAsia="Times New Roman" w:hAnsi="Times New Roman" w:cs="Times New Roman"/>
          <w:spacing w:val="-3"/>
          <w:sz w:val="33"/>
          <w:szCs w:val="33"/>
        </w:rPr>
        <w:t> or deficit for the year. If the credit side exceeds the debit side, there is surplus. On the other hand, if the debit side exceeds the credit side, there is a deficit. The surplus is added to the Capital Fund while the deficit is deducted from the Capital Fund.</w:t>
      </w:r>
    </w:p>
    <w:p w:rsidR="00600E8A" w:rsidRPr="00600E8A" w:rsidRDefault="00600E8A" w:rsidP="00600E8A">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600E8A">
        <w:rPr>
          <w:rFonts w:ascii="Arial" w:eastAsia="Times New Roman" w:hAnsi="Arial" w:cs="Arial"/>
          <w:b/>
          <w:bCs/>
          <w:color w:val="000000"/>
          <w:spacing w:val="-3"/>
          <w:sz w:val="39"/>
          <w:szCs w:val="39"/>
        </w:rPr>
        <w:t>Preparation of Income and Expenditure Account</w:t>
      </w:r>
    </w:p>
    <w:p w:rsidR="00600E8A" w:rsidRPr="00600E8A" w:rsidRDefault="00600E8A" w:rsidP="00600E8A">
      <w:pPr>
        <w:shd w:val="clear" w:color="auto" w:fill="FFFFFF"/>
        <w:spacing w:before="150" w:after="450" w:line="240" w:lineRule="auto"/>
        <w:rPr>
          <w:rFonts w:ascii="Times New Roman" w:eastAsia="Times New Roman" w:hAnsi="Times New Roman" w:cs="Times New Roman"/>
          <w:spacing w:val="-3"/>
          <w:sz w:val="33"/>
          <w:szCs w:val="33"/>
        </w:rPr>
      </w:pPr>
      <w:r w:rsidRPr="00600E8A">
        <w:rPr>
          <w:rFonts w:ascii="Times New Roman" w:eastAsia="Times New Roman" w:hAnsi="Times New Roman" w:cs="Times New Roman"/>
          <w:spacing w:val="-3"/>
          <w:sz w:val="33"/>
          <w:szCs w:val="33"/>
        </w:rPr>
        <w:t>For preparing an income and expenditure account, follow the steps as listed below.</w:t>
      </w:r>
    </w:p>
    <w:p w:rsidR="00600E8A" w:rsidRPr="00600E8A" w:rsidRDefault="00600E8A" w:rsidP="00600E8A">
      <w:pPr>
        <w:numPr>
          <w:ilvl w:val="0"/>
          <w:numId w:val="2"/>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600E8A">
        <w:rPr>
          <w:rFonts w:ascii="Times New Roman" w:eastAsia="Times New Roman" w:hAnsi="Times New Roman" w:cs="Times New Roman"/>
          <w:color w:val="0B0B0B"/>
          <w:spacing w:val="-1"/>
          <w:sz w:val="32"/>
          <w:szCs w:val="32"/>
        </w:rPr>
        <w:t>Include all items of revenue receipts and expenses, on the respective side of the account.</w:t>
      </w:r>
    </w:p>
    <w:p w:rsidR="00600E8A" w:rsidRPr="00600E8A" w:rsidRDefault="00600E8A" w:rsidP="00600E8A">
      <w:pPr>
        <w:numPr>
          <w:ilvl w:val="0"/>
          <w:numId w:val="2"/>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600E8A">
        <w:rPr>
          <w:rFonts w:ascii="Times New Roman" w:eastAsia="Times New Roman" w:hAnsi="Times New Roman" w:cs="Times New Roman"/>
          <w:color w:val="0B0B0B"/>
          <w:spacing w:val="-1"/>
          <w:sz w:val="32"/>
          <w:szCs w:val="32"/>
        </w:rPr>
        <w:t>Ensure that no items of capital incomes and expenses are included in this </w:t>
      </w:r>
      <w:hyperlink r:id="rId10" w:history="1">
        <w:r w:rsidRPr="00600E8A">
          <w:rPr>
            <w:rFonts w:ascii="Times New Roman" w:eastAsia="Times New Roman" w:hAnsi="Times New Roman" w:cs="Times New Roman"/>
            <w:color w:val="4A90E2"/>
            <w:spacing w:val="-1"/>
            <w:sz w:val="32"/>
            <w:u w:val="single"/>
          </w:rPr>
          <w:t>account</w:t>
        </w:r>
      </w:hyperlink>
      <w:r w:rsidRPr="00600E8A">
        <w:rPr>
          <w:rFonts w:ascii="Times New Roman" w:eastAsia="Times New Roman" w:hAnsi="Times New Roman" w:cs="Times New Roman"/>
          <w:color w:val="0B0B0B"/>
          <w:spacing w:val="-1"/>
          <w:sz w:val="32"/>
          <w:szCs w:val="32"/>
        </w:rPr>
        <w:t>.</w:t>
      </w:r>
    </w:p>
    <w:p w:rsidR="00600E8A" w:rsidRPr="00600E8A" w:rsidRDefault="00600E8A" w:rsidP="00600E8A">
      <w:pPr>
        <w:numPr>
          <w:ilvl w:val="0"/>
          <w:numId w:val="2"/>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600E8A">
        <w:rPr>
          <w:rFonts w:ascii="Times New Roman" w:eastAsia="Times New Roman" w:hAnsi="Times New Roman" w:cs="Times New Roman"/>
          <w:color w:val="0B0B0B"/>
          <w:spacing w:val="-1"/>
          <w:sz w:val="32"/>
          <w:szCs w:val="32"/>
        </w:rPr>
        <w:t>Also, </w:t>
      </w:r>
      <w:hyperlink r:id="rId11" w:history="1">
        <w:r w:rsidRPr="00600E8A">
          <w:rPr>
            <w:rFonts w:ascii="Times New Roman" w:eastAsia="Times New Roman" w:hAnsi="Times New Roman" w:cs="Times New Roman"/>
            <w:color w:val="4A90E2"/>
            <w:spacing w:val="-1"/>
            <w:sz w:val="32"/>
            <w:u w:val="single"/>
          </w:rPr>
          <w:t>adjustment</w:t>
        </w:r>
      </w:hyperlink>
      <w:r w:rsidRPr="00600E8A">
        <w:rPr>
          <w:rFonts w:ascii="Times New Roman" w:eastAsia="Times New Roman" w:hAnsi="Times New Roman" w:cs="Times New Roman"/>
          <w:color w:val="0B0B0B"/>
          <w:spacing w:val="-1"/>
          <w:sz w:val="32"/>
          <w:szCs w:val="32"/>
        </w:rPr>
        <w:t> for amounts prepaid and outstanding, with respect to each item will have to be made.</w:t>
      </w:r>
    </w:p>
    <w:p w:rsidR="00600E8A" w:rsidRPr="00600E8A" w:rsidRDefault="00600E8A" w:rsidP="00600E8A">
      <w:pPr>
        <w:numPr>
          <w:ilvl w:val="0"/>
          <w:numId w:val="2"/>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600E8A">
        <w:rPr>
          <w:rFonts w:ascii="Times New Roman" w:eastAsia="Times New Roman" w:hAnsi="Times New Roman" w:cs="Times New Roman"/>
          <w:color w:val="0B0B0B"/>
          <w:spacing w:val="-1"/>
          <w:sz w:val="32"/>
          <w:szCs w:val="32"/>
        </w:rPr>
        <w:t>Further, items included in </w:t>
      </w:r>
      <w:hyperlink r:id="rId12" w:history="1">
        <w:r w:rsidRPr="00600E8A">
          <w:rPr>
            <w:rFonts w:ascii="Times New Roman" w:eastAsia="Times New Roman" w:hAnsi="Times New Roman" w:cs="Times New Roman"/>
            <w:color w:val="4A90E2"/>
            <w:spacing w:val="-1"/>
            <w:sz w:val="32"/>
            <w:u w:val="single"/>
          </w:rPr>
          <w:t>receipts</w:t>
        </w:r>
      </w:hyperlink>
      <w:r w:rsidRPr="00600E8A">
        <w:rPr>
          <w:rFonts w:ascii="Times New Roman" w:eastAsia="Times New Roman" w:hAnsi="Times New Roman" w:cs="Times New Roman"/>
          <w:color w:val="0B0B0B"/>
          <w:spacing w:val="-1"/>
          <w:sz w:val="32"/>
          <w:szCs w:val="32"/>
        </w:rPr>
        <w:t> and payment account, </w:t>
      </w:r>
      <w:hyperlink r:id="rId13" w:history="1">
        <w:r w:rsidRPr="00600E8A">
          <w:rPr>
            <w:rFonts w:ascii="Times New Roman" w:eastAsia="Times New Roman" w:hAnsi="Times New Roman" w:cs="Times New Roman"/>
            <w:color w:val="4A90E2"/>
            <w:spacing w:val="-1"/>
            <w:sz w:val="32"/>
            <w:u w:val="single"/>
          </w:rPr>
          <w:t>depreciation</w:t>
        </w:r>
      </w:hyperlink>
      <w:r w:rsidRPr="00600E8A">
        <w:rPr>
          <w:rFonts w:ascii="Times New Roman" w:eastAsia="Times New Roman" w:hAnsi="Times New Roman" w:cs="Times New Roman"/>
          <w:color w:val="0B0B0B"/>
          <w:spacing w:val="-1"/>
          <w:sz w:val="32"/>
          <w:szCs w:val="32"/>
        </w:rPr>
        <w:t>, </w:t>
      </w:r>
      <w:hyperlink r:id="rId14" w:history="1">
        <w:r w:rsidRPr="00600E8A">
          <w:rPr>
            <w:rFonts w:ascii="Times New Roman" w:eastAsia="Times New Roman" w:hAnsi="Times New Roman" w:cs="Times New Roman"/>
            <w:color w:val="4A90E2"/>
            <w:spacing w:val="-1"/>
            <w:sz w:val="32"/>
            <w:u w:val="single"/>
          </w:rPr>
          <w:t>provisions</w:t>
        </w:r>
      </w:hyperlink>
      <w:r w:rsidRPr="00600E8A">
        <w:rPr>
          <w:rFonts w:ascii="Times New Roman" w:eastAsia="Times New Roman" w:hAnsi="Times New Roman" w:cs="Times New Roman"/>
          <w:color w:val="0B0B0B"/>
          <w:spacing w:val="-1"/>
          <w:sz w:val="32"/>
          <w:szCs w:val="32"/>
        </w:rPr>
        <w:t>, and </w:t>
      </w:r>
      <w:hyperlink r:id="rId15" w:history="1">
        <w:r w:rsidRPr="00600E8A">
          <w:rPr>
            <w:rFonts w:ascii="Times New Roman" w:eastAsia="Times New Roman" w:hAnsi="Times New Roman" w:cs="Times New Roman"/>
            <w:color w:val="4A90E2"/>
            <w:spacing w:val="-1"/>
            <w:sz w:val="32"/>
            <w:u w:val="single"/>
          </w:rPr>
          <w:t>profit or loss</w:t>
        </w:r>
      </w:hyperlink>
      <w:r w:rsidRPr="00600E8A">
        <w:rPr>
          <w:rFonts w:ascii="Times New Roman" w:eastAsia="Times New Roman" w:hAnsi="Times New Roman" w:cs="Times New Roman"/>
          <w:color w:val="0B0B0B"/>
          <w:spacing w:val="-1"/>
          <w:sz w:val="32"/>
          <w:szCs w:val="32"/>
        </w:rPr>
        <w:t> on sale of </w:t>
      </w:r>
      <w:hyperlink r:id="rId16" w:history="1">
        <w:r w:rsidRPr="00600E8A">
          <w:rPr>
            <w:rFonts w:ascii="Times New Roman" w:eastAsia="Times New Roman" w:hAnsi="Times New Roman" w:cs="Times New Roman"/>
            <w:color w:val="4A90E2"/>
            <w:spacing w:val="-1"/>
            <w:sz w:val="32"/>
            <w:u w:val="single"/>
          </w:rPr>
          <w:t>assets</w:t>
        </w:r>
      </w:hyperlink>
      <w:r w:rsidRPr="00600E8A">
        <w:rPr>
          <w:rFonts w:ascii="Times New Roman" w:eastAsia="Times New Roman" w:hAnsi="Times New Roman" w:cs="Times New Roman"/>
          <w:color w:val="0B0B0B"/>
          <w:spacing w:val="-1"/>
          <w:sz w:val="32"/>
          <w:szCs w:val="32"/>
        </w:rPr>
        <w:t> will have to be included in this account.</w:t>
      </w:r>
    </w:p>
    <w:p w:rsidR="00600E8A" w:rsidRDefault="00600E8A" w:rsidP="00600E8A">
      <w:pPr>
        <w:numPr>
          <w:ilvl w:val="0"/>
          <w:numId w:val="2"/>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600E8A">
        <w:rPr>
          <w:rFonts w:ascii="Times New Roman" w:eastAsia="Times New Roman" w:hAnsi="Times New Roman" w:cs="Times New Roman"/>
          <w:color w:val="0B0B0B"/>
          <w:spacing w:val="-1"/>
          <w:sz w:val="32"/>
          <w:szCs w:val="32"/>
        </w:rPr>
        <w:t>Finally, after putting down all items of revenue and expenses, you’ll get a balance. The resulting balance will then reveal the surplus or deficit for the period.</w:t>
      </w:r>
    </w:p>
    <w:p w:rsidR="007A0C47" w:rsidRDefault="007A0C47" w:rsidP="007A0C47">
      <w:pPr>
        <w:shd w:val="clear" w:color="auto" w:fill="FFFFFF"/>
        <w:spacing w:before="100" w:beforeAutospacing="1" w:after="0" w:line="240" w:lineRule="auto"/>
        <w:rPr>
          <w:rFonts w:ascii="Times New Roman" w:eastAsia="Times New Roman" w:hAnsi="Times New Roman" w:cs="Times New Roman"/>
          <w:color w:val="0B0B0B"/>
          <w:spacing w:val="-1"/>
          <w:sz w:val="32"/>
          <w:szCs w:val="32"/>
        </w:rPr>
      </w:pPr>
      <w:r>
        <w:rPr>
          <w:rFonts w:ascii="Times New Roman" w:eastAsia="Times New Roman" w:hAnsi="Times New Roman" w:cs="Times New Roman"/>
          <w:noProof/>
          <w:color w:val="0B0B0B"/>
          <w:spacing w:val="-1"/>
          <w:sz w:val="32"/>
          <w:szCs w:val="32"/>
        </w:rPr>
        <w:drawing>
          <wp:inline distT="0" distB="0" distL="0" distR="0">
            <wp:extent cx="6896100" cy="367628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6896100" cy="3676287"/>
                    </a:xfrm>
                    <a:prstGeom prst="rect">
                      <a:avLst/>
                    </a:prstGeom>
                    <a:noFill/>
                    <a:ln w="9525">
                      <a:noFill/>
                      <a:miter lim="800000"/>
                      <a:headEnd/>
                      <a:tailEnd/>
                    </a:ln>
                  </pic:spPr>
                </pic:pic>
              </a:graphicData>
            </a:graphic>
          </wp:inline>
        </w:drawing>
      </w:r>
    </w:p>
    <w:p w:rsidR="007A0C47" w:rsidRDefault="007A0C47" w:rsidP="007A0C47">
      <w:pPr>
        <w:shd w:val="clear" w:color="auto" w:fill="FFFFFF"/>
        <w:spacing w:before="100" w:beforeAutospacing="1" w:after="0" w:line="240" w:lineRule="auto"/>
        <w:rPr>
          <w:rFonts w:ascii="Times New Roman" w:eastAsia="Times New Roman" w:hAnsi="Times New Roman" w:cs="Times New Roman"/>
          <w:color w:val="0B0B0B"/>
          <w:spacing w:val="-1"/>
          <w:sz w:val="32"/>
          <w:szCs w:val="32"/>
        </w:rPr>
      </w:pPr>
    </w:p>
    <w:p w:rsidR="007A0C47" w:rsidRDefault="007A0C47" w:rsidP="007A0C47">
      <w:pPr>
        <w:shd w:val="clear" w:color="auto" w:fill="FFFFFF"/>
        <w:spacing w:before="100" w:beforeAutospacing="1" w:after="0" w:line="240" w:lineRule="auto"/>
        <w:rPr>
          <w:rFonts w:ascii="Times New Roman" w:eastAsia="Times New Roman" w:hAnsi="Times New Roman" w:cs="Times New Roman"/>
          <w:color w:val="0B0B0B"/>
          <w:spacing w:val="-1"/>
          <w:sz w:val="32"/>
          <w:szCs w:val="32"/>
        </w:rPr>
      </w:pPr>
    </w:p>
    <w:p w:rsidR="007A0C47" w:rsidRDefault="007A0C47" w:rsidP="007A0C47">
      <w:pPr>
        <w:shd w:val="clear" w:color="auto" w:fill="FFFFFF"/>
        <w:spacing w:before="100" w:beforeAutospacing="1" w:after="0" w:line="240" w:lineRule="auto"/>
        <w:rPr>
          <w:rFonts w:ascii="Times New Roman" w:eastAsia="Times New Roman" w:hAnsi="Times New Roman" w:cs="Times New Roman"/>
          <w:color w:val="0B0B0B"/>
          <w:spacing w:val="-1"/>
          <w:sz w:val="32"/>
          <w:szCs w:val="32"/>
        </w:rPr>
      </w:pPr>
    </w:p>
    <w:p w:rsidR="007A0C47" w:rsidRPr="00600E8A" w:rsidRDefault="007A0C47" w:rsidP="007A0C47">
      <w:pPr>
        <w:shd w:val="clear" w:color="auto" w:fill="FFFFFF"/>
        <w:spacing w:before="100" w:beforeAutospacing="1" w:after="0" w:line="240" w:lineRule="auto"/>
        <w:rPr>
          <w:rFonts w:ascii="Times New Roman" w:eastAsia="Times New Roman" w:hAnsi="Times New Roman" w:cs="Times New Roman"/>
          <w:color w:val="0B0B0B"/>
          <w:spacing w:val="-1"/>
          <w:sz w:val="32"/>
          <w:szCs w:val="32"/>
        </w:rPr>
      </w:pPr>
    </w:p>
    <w:p w:rsidR="00D77EF8" w:rsidRDefault="00D77EF8"/>
    <w:sectPr w:rsidR="00D77EF8" w:rsidSect="00D77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F09C7"/>
    <w:multiLevelType w:val="multilevel"/>
    <w:tmpl w:val="7B10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85AB1"/>
    <w:multiLevelType w:val="multilevel"/>
    <w:tmpl w:val="1F4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00E8A"/>
    <w:rsid w:val="00600E8A"/>
    <w:rsid w:val="007A0C47"/>
    <w:rsid w:val="00D77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F8"/>
  </w:style>
  <w:style w:type="paragraph" w:styleId="Heading2">
    <w:name w:val="heading 2"/>
    <w:basedOn w:val="Normal"/>
    <w:link w:val="Heading2Char"/>
    <w:uiPriority w:val="9"/>
    <w:qFormat/>
    <w:rsid w:val="00600E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E8A"/>
    <w:rPr>
      <w:rFonts w:ascii="Tahoma" w:hAnsi="Tahoma" w:cs="Tahoma"/>
      <w:sz w:val="16"/>
      <w:szCs w:val="16"/>
    </w:rPr>
  </w:style>
  <w:style w:type="character" w:customStyle="1" w:styleId="Heading2Char">
    <w:name w:val="Heading 2 Char"/>
    <w:basedOn w:val="DefaultParagraphFont"/>
    <w:link w:val="Heading2"/>
    <w:uiPriority w:val="9"/>
    <w:rsid w:val="00600E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0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E8A"/>
    <w:rPr>
      <w:color w:val="0000FF"/>
      <w:u w:val="single"/>
    </w:rPr>
  </w:style>
</w:styles>
</file>

<file path=word/webSettings.xml><?xml version="1.0" encoding="utf-8"?>
<w:webSettings xmlns:r="http://schemas.openxmlformats.org/officeDocument/2006/relationships" xmlns:w="http://schemas.openxmlformats.org/wordprocessingml/2006/main">
  <w:divs>
    <w:div w:id="644118817">
      <w:bodyDiv w:val="1"/>
      <w:marLeft w:val="0"/>
      <w:marRight w:val="0"/>
      <w:marTop w:val="0"/>
      <w:marBottom w:val="0"/>
      <w:divBdr>
        <w:top w:val="none" w:sz="0" w:space="0" w:color="auto"/>
        <w:left w:val="none" w:sz="0" w:space="0" w:color="auto"/>
        <w:bottom w:val="none" w:sz="0" w:space="0" w:color="auto"/>
        <w:right w:val="none" w:sz="0" w:space="0" w:color="auto"/>
      </w:divBdr>
    </w:div>
    <w:div w:id="18598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fundamentals-of-accounting/accounting-process/types-of-accounts/" TargetMode="External"/><Relationship Id="rId13" Type="http://schemas.openxmlformats.org/officeDocument/2006/relationships/hyperlink" Target="https://www.toppr.com/guides/principles-and-practice-of-accounting/concept-and-accounting-of-depreciation/concept-and-meaning-of-depreci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economics/government-budget-and-the-economy/revenue-account-and-capital-account/" TargetMode="External"/><Relationship Id="rId12" Type="http://schemas.openxmlformats.org/officeDocument/2006/relationships/hyperlink" Target="https://www.toppr.com/guides/accountancy/accounting-for-not-for-profit-organisations/receipt-payment-accoun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toppr.com/guides/accounting-and-auditing/preparation-of-final-accounts-of-sole-proprietor/classification-of-assets-and-liabilities/" TargetMode="External"/><Relationship Id="rId1" Type="http://schemas.openxmlformats.org/officeDocument/2006/relationships/numbering" Target="numbering.xml"/><Relationship Id="rId6" Type="http://schemas.openxmlformats.org/officeDocument/2006/relationships/hyperlink" Target="https://www.toppr.com/guides/accountancy/financial-statements/trading-and-profit-and-loss-account/" TargetMode="External"/><Relationship Id="rId11" Type="http://schemas.openxmlformats.org/officeDocument/2006/relationships/hyperlink" Target="https://www.toppr.com/guides/accountancy/financial-statements/need-adjustment-closing-stock-outstanding-expenses/" TargetMode="External"/><Relationship Id="rId5" Type="http://schemas.openxmlformats.org/officeDocument/2006/relationships/image" Target="media/image1.png"/><Relationship Id="rId15" Type="http://schemas.openxmlformats.org/officeDocument/2006/relationships/hyperlink" Target="https://www.toppr.com/guides/quantitative-aptitude/profit-and-loss/profit-and-loss-practice-questions/" TargetMode="External"/><Relationship Id="rId10" Type="http://schemas.openxmlformats.org/officeDocument/2006/relationships/hyperlink" Target="https://www.toppr.com/guides/fundamentals-of-accounting/accounting-process/types-of-accou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oppr.com/guides/business-economics/theory-of-consumer-behavior/consumer-surplus/" TargetMode="External"/><Relationship Id="rId14" Type="http://schemas.openxmlformats.org/officeDocument/2006/relationships/hyperlink" Target="https://www.toppr.com/guides/accountancy/depreciation-provision-and-reserves/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2020-02-17T09:02:00Z</dcterms:created>
  <dcterms:modified xsi:type="dcterms:W3CDTF">2020-02-17T09:11:00Z</dcterms:modified>
</cp:coreProperties>
</file>